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FD04D" w14:textId="4451B9CE" w:rsidR="00E97EDD" w:rsidRDefault="002F0078" w:rsidP="00437D2A">
      <w:pPr>
        <w:rPr>
          <w:rFonts w:cstheme="minorHAnsi"/>
          <w:b/>
          <w:lang w:val="en-US"/>
        </w:rPr>
      </w:pPr>
      <w:r>
        <w:rPr>
          <w:rFonts w:cstheme="minorHAnsi"/>
          <w:noProof/>
          <w:lang w:eastAsia="fr-FR"/>
        </w:rPr>
        <w:drawing>
          <wp:anchor distT="0" distB="0" distL="114300" distR="114300" simplePos="0" relativeHeight="251659264" behindDoc="0" locked="0" layoutInCell="1" allowOverlap="1" wp14:anchorId="4CA6D367" wp14:editId="27183CB4">
            <wp:simplePos x="0" y="0"/>
            <wp:positionH relativeFrom="column">
              <wp:posOffset>5277228</wp:posOffset>
            </wp:positionH>
            <wp:positionV relativeFrom="paragraph">
              <wp:posOffset>-422404</wp:posOffset>
            </wp:positionV>
            <wp:extent cx="752475" cy="7524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rgy in deman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sidRPr="00E02211">
        <w:rPr>
          <w:rFonts w:cstheme="minorHAnsi"/>
          <w:noProof/>
          <w:lang w:eastAsia="fr-FR"/>
        </w:rPr>
        <w:drawing>
          <wp:anchor distT="0" distB="0" distL="114300" distR="114300" simplePos="0" relativeHeight="251658240" behindDoc="0" locked="0" layoutInCell="1" allowOverlap="1" wp14:anchorId="7768F0F2" wp14:editId="0E51EE34">
            <wp:simplePos x="0" y="0"/>
            <wp:positionH relativeFrom="column">
              <wp:posOffset>-448471</wp:posOffset>
            </wp:positionH>
            <wp:positionV relativeFrom="paragraph">
              <wp:posOffset>-297976</wp:posOffset>
            </wp:positionV>
            <wp:extent cx="2219325" cy="64692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646929"/>
                    </a:xfrm>
                    <a:prstGeom prst="rect">
                      <a:avLst/>
                    </a:prstGeom>
                    <a:noFill/>
                    <a:ln>
                      <a:noFill/>
                    </a:ln>
                  </pic:spPr>
                </pic:pic>
              </a:graphicData>
            </a:graphic>
            <wp14:sizeRelH relativeFrom="page">
              <wp14:pctWidth>0</wp14:pctWidth>
            </wp14:sizeRelH>
            <wp14:sizeRelV relativeFrom="page">
              <wp14:pctHeight>0</wp14:pctHeight>
            </wp14:sizeRelV>
          </wp:anchor>
        </w:drawing>
      </w:r>
      <w:r w:rsidR="00E97EDD">
        <w:rPr>
          <w:rFonts w:cstheme="minorHAnsi"/>
          <w:b/>
          <w:lang w:val="en-US"/>
        </w:rPr>
        <w:t xml:space="preserve">                                                                                  </w:t>
      </w:r>
    </w:p>
    <w:p w14:paraId="47B43FFC" w14:textId="77777777" w:rsidR="00E97EDD" w:rsidRDefault="00E97EDD" w:rsidP="00437D2A">
      <w:pPr>
        <w:rPr>
          <w:rFonts w:cstheme="minorHAnsi"/>
          <w:b/>
          <w:lang w:val="en-US"/>
        </w:rPr>
      </w:pPr>
    </w:p>
    <w:p w14:paraId="1B1B223A" w14:textId="77C72F05" w:rsidR="00E97EDD" w:rsidRDefault="00E97EDD" w:rsidP="00437D2A">
      <w:pPr>
        <w:rPr>
          <w:rFonts w:cstheme="minorHAnsi"/>
          <w:b/>
          <w:lang w:val="en-US"/>
        </w:rPr>
      </w:pPr>
      <w:r>
        <w:rPr>
          <w:rFonts w:cstheme="minorHAnsi"/>
          <w:b/>
          <w:lang w:val="en-US"/>
        </w:rPr>
        <w:t xml:space="preserve">Think local first: designing an EU building policy framework </w:t>
      </w:r>
      <w:proofErr w:type="spellStart"/>
      <w:r>
        <w:rPr>
          <w:rFonts w:cstheme="minorHAnsi"/>
          <w:b/>
          <w:lang w:val="en-US"/>
        </w:rPr>
        <w:t>centred</w:t>
      </w:r>
      <w:proofErr w:type="spellEnd"/>
      <w:r>
        <w:rPr>
          <w:rFonts w:cstheme="minorHAnsi"/>
          <w:b/>
          <w:lang w:val="en-US"/>
        </w:rPr>
        <w:t xml:space="preserve"> on consumers, local authorities and energy advisory services to deliver on Europe’s renovation challenge</w:t>
      </w:r>
    </w:p>
    <w:p w14:paraId="5DE89588" w14:textId="2D8E3DF8" w:rsidR="00E97EDD" w:rsidRPr="00E97EDD" w:rsidRDefault="00081F89" w:rsidP="00437D2A">
      <w:pPr>
        <w:rPr>
          <w:rFonts w:cstheme="minorHAnsi"/>
          <w:lang w:val="en-US"/>
        </w:rPr>
      </w:pPr>
      <w:r>
        <w:rPr>
          <w:rFonts w:cstheme="minorHAnsi"/>
          <w:lang w:val="en-US"/>
        </w:rPr>
        <w:t xml:space="preserve">Tuesday </w:t>
      </w:r>
      <w:r w:rsidR="00E97EDD" w:rsidRPr="00E97EDD">
        <w:rPr>
          <w:rFonts w:cstheme="minorHAnsi"/>
          <w:lang w:val="en-US"/>
        </w:rPr>
        <w:t>20</w:t>
      </w:r>
      <w:r w:rsidR="00E97EDD" w:rsidRPr="00E97EDD">
        <w:rPr>
          <w:rFonts w:cstheme="minorHAnsi"/>
          <w:vertAlign w:val="superscript"/>
          <w:lang w:val="en-US"/>
        </w:rPr>
        <w:t>th</w:t>
      </w:r>
      <w:r w:rsidR="00E97EDD" w:rsidRPr="00E97EDD">
        <w:rPr>
          <w:rFonts w:cstheme="minorHAnsi"/>
          <w:lang w:val="en-US"/>
        </w:rPr>
        <w:t xml:space="preserve"> June 2017</w:t>
      </w:r>
      <w:r>
        <w:rPr>
          <w:rFonts w:cstheme="minorHAnsi"/>
          <w:lang w:val="en-US"/>
        </w:rPr>
        <w:t xml:space="preserve"> as part of EU Sustainable Energy Week</w:t>
      </w:r>
      <w:r w:rsidR="00105568">
        <w:rPr>
          <w:rFonts w:cstheme="minorHAnsi"/>
          <w:lang w:val="en-US"/>
        </w:rPr>
        <w:t xml:space="preserve">, </w:t>
      </w:r>
      <w:r w:rsidR="00E97EDD" w:rsidRPr="00E97EDD">
        <w:rPr>
          <w:rFonts w:cstheme="minorHAnsi"/>
          <w:lang w:val="en-US"/>
        </w:rPr>
        <w:t>9.30-12.05 followed by lunch</w:t>
      </w:r>
    </w:p>
    <w:p w14:paraId="54AFD4B9" w14:textId="74E4C4B6" w:rsidR="00E97EDD" w:rsidRDefault="00FD3A52" w:rsidP="00437D2A">
      <w:pPr>
        <w:rPr>
          <w:rFonts w:cstheme="minorHAnsi"/>
          <w:lang w:val="en-US"/>
        </w:rPr>
      </w:pPr>
      <w:r>
        <w:rPr>
          <w:rFonts w:cstheme="minorHAnsi"/>
          <w:lang w:val="en-US"/>
        </w:rPr>
        <w:t>Renewable Energy</w:t>
      </w:r>
      <w:r w:rsidR="00E97EDD" w:rsidRPr="00E97EDD">
        <w:rPr>
          <w:rFonts w:cstheme="minorHAnsi"/>
          <w:lang w:val="en-US"/>
        </w:rPr>
        <w:t xml:space="preserve"> House</w:t>
      </w:r>
      <w:r w:rsidR="002F0078">
        <w:rPr>
          <w:rFonts w:cstheme="minorHAnsi"/>
          <w:lang w:val="en-US"/>
        </w:rPr>
        <w:t xml:space="preserve">, Rue </w:t>
      </w:r>
      <w:proofErr w:type="spellStart"/>
      <w:r w:rsidR="002F0078">
        <w:rPr>
          <w:rFonts w:cstheme="minorHAnsi"/>
          <w:lang w:val="en-US"/>
        </w:rPr>
        <w:t>d’Arlon</w:t>
      </w:r>
      <w:proofErr w:type="spellEnd"/>
      <w:r w:rsidR="002F0078">
        <w:rPr>
          <w:rFonts w:cstheme="minorHAnsi"/>
          <w:lang w:val="en-US"/>
        </w:rPr>
        <w:t xml:space="preserve"> 63-67, 1040 Brussels</w:t>
      </w:r>
    </w:p>
    <w:p w14:paraId="5A41DB32" w14:textId="77777777" w:rsidR="00E97EDD" w:rsidRPr="00E97EDD" w:rsidRDefault="00E97EDD" w:rsidP="00E97EDD">
      <w:pPr>
        <w:pStyle w:val="Default"/>
        <w:rPr>
          <w:rFonts w:asciiTheme="minorHAnsi" w:hAnsiTheme="minorHAnsi" w:cstheme="minorHAnsi"/>
          <w:bCs/>
          <w:iCs/>
          <w:sz w:val="22"/>
          <w:szCs w:val="22"/>
          <w:lang w:val="en-US"/>
        </w:rPr>
      </w:pPr>
      <w:r>
        <w:rPr>
          <w:rFonts w:asciiTheme="minorHAnsi" w:hAnsiTheme="minorHAnsi" w:cstheme="minorHAnsi"/>
          <w:b/>
          <w:bCs/>
          <w:iCs/>
          <w:sz w:val="22"/>
          <w:szCs w:val="22"/>
          <w:lang w:val="en-US"/>
        </w:rPr>
        <w:t>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6901"/>
        <w:gridCol w:w="1134"/>
      </w:tblGrid>
      <w:tr w:rsidR="00105568" w:rsidRPr="00E02211" w14:paraId="2B4A1AE1" w14:textId="77777777" w:rsidTr="00105568">
        <w:tc>
          <w:tcPr>
            <w:tcW w:w="1025" w:type="dxa"/>
            <w:shd w:val="clear" w:color="auto" w:fill="auto"/>
          </w:tcPr>
          <w:p w14:paraId="2B82E894" w14:textId="77777777" w:rsidR="00E97EDD" w:rsidRPr="00E02211" w:rsidRDefault="00E97EDD" w:rsidP="00071D1A">
            <w:pPr>
              <w:pStyle w:val="STSubtitle"/>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9.30</w:t>
            </w:r>
          </w:p>
        </w:tc>
        <w:tc>
          <w:tcPr>
            <w:tcW w:w="6901" w:type="dxa"/>
            <w:shd w:val="clear" w:color="auto" w:fill="auto"/>
          </w:tcPr>
          <w:p w14:paraId="58214051" w14:textId="77777777" w:rsidR="00E97EDD" w:rsidRPr="00CA3236" w:rsidRDefault="00E97EDD" w:rsidP="00071D1A">
            <w:pPr>
              <w:pStyle w:val="STSubtitle"/>
              <w:spacing w:after="0" w:line="240" w:lineRule="auto"/>
              <w:rPr>
                <w:rFonts w:asciiTheme="minorHAnsi" w:hAnsiTheme="minorHAnsi" w:cstheme="minorHAnsi"/>
                <w:b/>
                <w:color w:val="auto"/>
                <w:sz w:val="22"/>
                <w:szCs w:val="22"/>
              </w:rPr>
            </w:pPr>
            <w:r w:rsidRPr="00CA3236">
              <w:rPr>
                <w:rFonts w:asciiTheme="minorHAnsi" w:hAnsiTheme="minorHAnsi" w:cstheme="minorHAnsi"/>
                <w:b/>
                <w:color w:val="auto"/>
                <w:sz w:val="22"/>
                <w:szCs w:val="22"/>
              </w:rPr>
              <w:t xml:space="preserve">Welcome and short introductions on </w:t>
            </w:r>
            <w:r>
              <w:rPr>
                <w:rFonts w:asciiTheme="minorHAnsi" w:hAnsiTheme="minorHAnsi" w:cstheme="minorHAnsi"/>
                <w:b/>
                <w:color w:val="auto"/>
                <w:sz w:val="22"/>
                <w:szCs w:val="22"/>
              </w:rPr>
              <w:t xml:space="preserve">the Horizon 2020 </w:t>
            </w:r>
            <w:r w:rsidRPr="00CA3236">
              <w:rPr>
                <w:rFonts w:asciiTheme="minorHAnsi" w:hAnsiTheme="minorHAnsi" w:cstheme="minorHAnsi"/>
                <w:b/>
                <w:color w:val="auto"/>
                <w:sz w:val="22"/>
                <w:szCs w:val="22"/>
              </w:rPr>
              <w:t>PUBLENEF project</w:t>
            </w:r>
            <w:r>
              <w:rPr>
                <w:rFonts w:asciiTheme="minorHAnsi" w:hAnsiTheme="minorHAnsi" w:cstheme="minorHAnsi"/>
                <w:b/>
                <w:color w:val="auto"/>
                <w:sz w:val="22"/>
                <w:szCs w:val="22"/>
              </w:rPr>
              <w:t xml:space="preserve"> and the</w:t>
            </w:r>
            <w:r w:rsidRPr="00CA3236">
              <w:rPr>
                <w:rFonts w:asciiTheme="minorHAnsi" w:hAnsiTheme="minorHAnsi" w:cstheme="minorHAnsi"/>
                <w:b/>
                <w:color w:val="auto"/>
                <w:sz w:val="22"/>
                <w:szCs w:val="22"/>
              </w:rPr>
              <w:t xml:space="preserve"> Energy Advice Exchange</w:t>
            </w:r>
            <w:r>
              <w:rPr>
                <w:rFonts w:asciiTheme="minorHAnsi" w:hAnsiTheme="minorHAnsi" w:cstheme="minorHAnsi"/>
                <w:b/>
                <w:color w:val="auto"/>
                <w:sz w:val="22"/>
                <w:szCs w:val="22"/>
              </w:rPr>
              <w:t xml:space="preserve"> – David Donnerer (PUBLENEF) / Rod Janssen (Energy Advice Exchange)</w:t>
            </w:r>
          </w:p>
        </w:tc>
        <w:tc>
          <w:tcPr>
            <w:tcW w:w="1134" w:type="dxa"/>
          </w:tcPr>
          <w:p w14:paraId="0EAD595E" w14:textId="77777777" w:rsidR="00E97EDD" w:rsidRPr="00CA3236" w:rsidRDefault="00E97EDD" w:rsidP="00071D1A">
            <w:pPr>
              <w:pStyle w:val="STSubtitle"/>
              <w:spacing w:after="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10 mins</w:t>
            </w:r>
          </w:p>
        </w:tc>
      </w:tr>
      <w:tr w:rsidR="00E97EDD" w:rsidRPr="00887AA8" w14:paraId="7B4209F6" w14:textId="77777777" w:rsidTr="00105568">
        <w:tc>
          <w:tcPr>
            <w:tcW w:w="9060" w:type="dxa"/>
            <w:gridSpan w:val="3"/>
            <w:shd w:val="clear" w:color="auto" w:fill="auto"/>
          </w:tcPr>
          <w:p w14:paraId="54F5F843" w14:textId="57881A8A" w:rsidR="00E97EDD" w:rsidRDefault="00E97EDD" w:rsidP="00071D1A">
            <w:pPr>
              <w:pStyle w:val="STSubtitle"/>
              <w:spacing w:after="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Policy Roundtable</w:t>
            </w:r>
            <w:r w:rsidR="002F0078">
              <w:rPr>
                <w:rFonts w:asciiTheme="minorHAnsi" w:hAnsiTheme="minorHAnsi" w:cstheme="minorHAnsi"/>
                <w:b/>
                <w:color w:val="auto"/>
                <w:sz w:val="22"/>
                <w:szCs w:val="22"/>
              </w:rPr>
              <w:t xml:space="preserve"> 1</w:t>
            </w:r>
            <w:r>
              <w:rPr>
                <w:rFonts w:asciiTheme="minorHAnsi" w:hAnsiTheme="minorHAnsi" w:cstheme="minorHAnsi"/>
                <w:b/>
                <w:color w:val="auto"/>
                <w:sz w:val="22"/>
                <w:szCs w:val="22"/>
              </w:rPr>
              <w:t>, moderated by Rod Janssen (Energy Advice Exchange)</w:t>
            </w:r>
          </w:p>
        </w:tc>
      </w:tr>
      <w:tr w:rsidR="00105568" w:rsidRPr="00E02211" w14:paraId="3050ABB9" w14:textId="77777777" w:rsidTr="00105568">
        <w:tc>
          <w:tcPr>
            <w:tcW w:w="1025" w:type="dxa"/>
            <w:shd w:val="clear" w:color="auto" w:fill="auto"/>
          </w:tcPr>
          <w:p w14:paraId="2F852A97" w14:textId="77777777" w:rsidR="00E97EDD" w:rsidRPr="00E02211" w:rsidRDefault="00E97EDD" w:rsidP="00071D1A">
            <w:pPr>
              <w:pStyle w:val="STSubtitle"/>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9.40</w:t>
            </w:r>
          </w:p>
        </w:tc>
        <w:tc>
          <w:tcPr>
            <w:tcW w:w="6901" w:type="dxa"/>
            <w:shd w:val="clear" w:color="auto" w:fill="auto"/>
          </w:tcPr>
          <w:p w14:paraId="5A9151EE" w14:textId="6D6BB845" w:rsidR="00E97EDD" w:rsidRPr="002F0078" w:rsidRDefault="00E97EDD" w:rsidP="00071D1A">
            <w:pPr>
              <w:pStyle w:val="STSubtitle"/>
              <w:spacing w:after="0" w:line="240" w:lineRule="auto"/>
              <w:rPr>
                <w:rFonts w:asciiTheme="minorHAnsi" w:hAnsiTheme="minorHAnsi" w:cstheme="minorHAnsi"/>
                <w:b/>
                <w:color w:val="auto"/>
                <w:sz w:val="22"/>
                <w:szCs w:val="22"/>
              </w:rPr>
            </w:pPr>
            <w:r w:rsidRPr="00901D5A">
              <w:rPr>
                <w:rFonts w:asciiTheme="minorHAnsi" w:hAnsiTheme="minorHAnsi" w:cstheme="minorHAnsi"/>
                <w:b/>
                <w:color w:val="auto"/>
                <w:sz w:val="22"/>
                <w:szCs w:val="22"/>
              </w:rPr>
              <w:t>Introductions to panel members</w:t>
            </w:r>
          </w:p>
          <w:p w14:paraId="12E83C2E" w14:textId="7104B4BB" w:rsidR="00F868F8" w:rsidRDefault="002A794F" w:rsidP="00F868F8">
            <w:pPr>
              <w:pStyle w:val="STSubtitle"/>
              <w:numPr>
                <w:ilvl w:val="0"/>
                <w:numId w:val="1"/>
              </w:numPr>
              <w:spacing w:after="0" w:line="240" w:lineRule="auto"/>
              <w:rPr>
                <w:rFonts w:asciiTheme="minorHAnsi" w:hAnsiTheme="minorHAnsi" w:cstheme="minorHAnsi"/>
                <w:color w:val="auto"/>
                <w:sz w:val="22"/>
                <w:szCs w:val="22"/>
              </w:rPr>
            </w:pPr>
            <w:proofErr w:type="spellStart"/>
            <w:r>
              <w:rPr>
                <w:rFonts w:asciiTheme="minorHAnsi" w:hAnsiTheme="minorHAnsi" w:cstheme="minorHAnsi"/>
                <w:color w:val="auto"/>
                <w:sz w:val="22"/>
                <w:szCs w:val="22"/>
              </w:rPr>
              <w:t>Mariangiola</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Fabbri</w:t>
            </w:r>
            <w:proofErr w:type="spellEnd"/>
            <w:r w:rsidR="002F0078">
              <w:rPr>
                <w:rFonts w:asciiTheme="minorHAnsi" w:hAnsiTheme="minorHAnsi" w:cstheme="minorHAnsi"/>
                <w:color w:val="auto"/>
                <w:sz w:val="22"/>
                <w:szCs w:val="22"/>
              </w:rPr>
              <w:t xml:space="preserve">, </w:t>
            </w:r>
            <w:r w:rsidR="00F868F8" w:rsidRPr="00CA6FE1">
              <w:rPr>
                <w:rFonts w:asciiTheme="minorHAnsi" w:hAnsiTheme="minorHAnsi" w:cstheme="minorHAnsi"/>
                <w:color w:val="auto"/>
                <w:sz w:val="22"/>
                <w:szCs w:val="22"/>
              </w:rPr>
              <w:t xml:space="preserve">BPIE </w:t>
            </w:r>
          </w:p>
          <w:p w14:paraId="1A973294" w14:textId="632C71F1" w:rsidR="005811D6" w:rsidRDefault="00887AA8" w:rsidP="00F868F8">
            <w:pPr>
              <w:pStyle w:val="STSubtitle"/>
              <w:numPr>
                <w:ilvl w:val="0"/>
                <w:numId w:val="1"/>
              </w:numPr>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Ulrich Bang, VELUX Group</w:t>
            </w:r>
            <w:bookmarkStart w:id="0" w:name="_GoBack"/>
            <w:bookmarkEnd w:id="0"/>
          </w:p>
          <w:p w14:paraId="216A0C90" w14:textId="77777777" w:rsidR="00E97EDD" w:rsidRDefault="002F0078" w:rsidP="005811D6">
            <w:pPr>
              <w:pStyle w:val="STSubtitle"/>
              <w:numPr>
                <w:ilvl w:val="0"/>
                <w:numId w:val="1"/>
              </w:numPr>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Isabelle </w:t>
            </w:r>
            <w:proofErr w:type="spellStart"/>
            <w:r>
              <w:rPr>
                <w:rFonts w:asciiTheme="minorHAnsi" w:hAnsiTheme="minorHAnsi" w:cstheme="minorHAnsi"/>
                <w:color w:val="auto"/>
                <w:sz w:val="22"/>
                <w:szCs w:val="22"/>
              </w:rPr>
              <w:t>Buscke</w:t>
            </w:r>
            <w:proofErr w:type="spellEnd"/>
            <w:r>
              <w:rPr>
                <w:rFonts w:asciiTheme="minorHAnsi" w:hAnsiTheme="minorHAnsi" w:cstheme="minorHAnsi"/>
                <w:color w:val="auto"/>
                <w:sz w:val="22"/>
                <w:szCs w:val="22"/>
              </w:rPr>
              <w:t xml:space="preserve">, Federation of German Consumer </w:t>
            </w:r>
            <w:proofErr w:type="spellStart"/>
            <w:r>
              <w:rPr>
                <w:rFonts w:asciiTheme="minorHAnsi" w:hAnsiTheme="minorHAnsi" w:cstheme="minorHAnsi"/>
                <w:color w:val="auto"/>
                <w:sz w:val="22"/>
                <w:szCs w:val="22"/>
              </w:rPr>
              <w:t>Organisations</w:t>
            </w:r>
            <w:proofErr w:type="spellEnd"/>
            <w:r>
              <w:rPr>
                <w:rFonts w:asciiTheme="minorHAnsi" w:hAnsiTheme="minorHAnsi" w:cstheme="minorHAnsi"/>
                <w:color w:val="auto"/>
                <w:sz w:val="22"/>
                <w:szCs w:val="22"/>
              </w:rPr>
              <w:t xml:space="preserve"> (VZBV)</w:t>
            </w:r>
            <w:r w:rsidRPr="005811D6">
              <w:rPr>
                <w:rFonts w:asciiTheme="minorHAnsi" w:hAnsiTheme="minorHAnsi" w:cstheme="minorHAnsi"/>
                <w:color w:val="auto"/>
                <w:sz w:val="22"/>
                <w:szCs w:val="22"/>
              </w:rPr>
              <w:t xml:space="preserve"> </w:t>
            </w:r>
          </w:p>
          <w:p w14:paraId="075DD7C4" w14:textId="0C7388B5" w:rsidR="00887AA8" w:rsidRPr="00887AA8" w:rsidRDefault="00887AA8" w:rsidP="00887AA8">
            <w:pPr>
              <w:pStyle w:val="STSubtitle"/>
              <w:numPr>
                <w:ilvl w:val="0"/>
                <w:numId w:val="1"/>
              </w:numPr>
              <w:spacing w:after="0" w:line="240" w:lineRule="auto"/>
              <w:rPr>
                <w:rFonts w:asciiTheme="minorHAnsi" w:hAnsiTheme="minorHAnsi" w:cstheme="minorHAnsi"/>
                <w:color w:val="auto"/>
                <w:sz w:val="22"/>
                <w:szCs w:val="22"/>
                <w:lang w:val="fr-FR"/>
              </w:rPr>
            </w:pPr>
            <w:r w:rsidRPr="00887AA8">
              <w:rPr>
                <w:rFonts w:asciiTheme="minorHAnsi" w:hAnsiTheme="minorHAnsi" w:cstheme="minorHAnsi"/>
                <w:color w:val="auto"/>
                <w:sz w:val="22"/>
                <w:szCs w:val="22"/>
                <w:lang w:val="fr-FR"/>
              </w:rPr>
              <w:t xml:space="preserve">Florent </w:t>
            </w:r>
            <w:proofErr w:type="spellStart"/>
            <w:r w:rsidRPr="00887AA8">
              <w:rPr>
                <w:rFonts w:asciiTheme="minorHAnsi" w:hAnsiTheme="minorHAnsi" w:cstheme="minorHAnsi"/>
                <w:color w:val="auto"/>
                <w:sz w:val="22"/>
                <w:szCs w:val="22"/>
                <w:lang w:val="fr-FR"/>
              </w:rPr>
              <w:t>Marcellesi</w:t>
            </w:r>
            <w:proofErr w:type="spellEnd"/>
            <w:r w:rsidRPr="00887AA8">
              <w:rPr>
                <w:rFonts w:asciiTheme="minorHAnsi" w:hAnsiTheme="minorHAnsi" w:cstheme="minorHAnsi"/>
                <w:color w:val="auto"/>
                <w:sz w:val="22"/>
                <w:szCs w:val="22"/>
                <w:lang w:val="fr-FR"/>
              </w:rPr>
              <w:t xml:space="preserve">, EP EPBD </w:t>
            </w:r>
            <w:proofErr w:type="spellStart"/>
            <w:r w:rsidRPr="00887AA8">
              <w:rPr>
                <w:rFonts w:asciiTheme="minorHAnsi" w:hAnsiTheme="minorHAnsi" w:cstheme="minorHAnsi"/>
                <w:color w:val="auto"/>
                <w:sz w:val="22"/>
                <w:szCs w:val="22"/>
                <w:lang w:val="fr-FR"/>
              </w:rPr>
              <w:t>shadow</w:t>
            </w:r>
            <w:proofErr w:type="spellEnd"/>
            <w:r w:rsidRPr="00887AA8">
              <w:rPr>
                <w:rFonts w:asciiTheme="minorHAnsi" w:hAnsiTheme="minorHAnsi" w:cstheme="minorHAnsi"/>
                <w:color w:val="auto"/>
                <w:sz w:val="22"/>
                <w:szCs w:val="22"/>
                <w:lang w:val="fr-FR"/>
              </w:rPr>
              <w:t xml:space="preserve"> rapporteur</w:t>
            </w:r>
            <w:r>
              <w:rPr>
                <w:rFonts w:asciiTheme="minorHAnsi" w:hAnsiTheme="minorHAnsi" w:cstheme="minorHAnsi"/>
                <w:color w:val="auto"/>
                <w:sz w:val="22"/>
                <w:szCs w:val="22"/>
                <w:lang w:val="fr-FR"/>
              </w:rPr>
              <w:t>, Greens/EFA</w:t>
            </w:r>
            <w:r w:rsidRPr="00887AA8">
              <w:rPr>
                <w:rFonts w:asciiTheme="minorHAnsi" w:hAnsiTheme="minorHAnsi" w:cstheme="minorHAnsi"/>
                <w:color w:val="auto"/>
                <w:sz w:val="22"/>
                <w:szCs w:val="22"/>
                <w:lang w:val="fr-FR"/>
              </w:rPr>
              <w:t xml:space="preserve"> (TBC)</w:t>
            </w:r>
          </w:p>
        </w:tc>
        <w:tc>
          <w:tcPr>
            <w:tcW w:w="1134" w:type="dxa"/>
          </w:tcPr>
          <w:p w14:paraId="362B25AA" w14:textId="0EA61288" w:rsidR="00E97EDD" w:rsidRDefault="002F0078" w:rsidP="00071D1A">
            <w:pPr>
              <w:pStyle w:val="STSubtitle"/>
              <w:spacing w:after="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5</w:t>
            </w:r>
            <w:r w:rsidR="00E97EDD">
              <w:rPr>
                <w:rFonts w:asciiTheme="minorHAnsi" w:hAnsiTheme="minorHAnsi" w:cstheme="minorHAnsi"/>
                <w:b/>
                <w:color w:val="auto"/>
                <w:sz w:val="22"/>
                <w:szCs w:val="22"/>
              </w:rPr>
              <w:t xml:space="preserve"> mins</w:t>
            </w:r>
          </w:p>
        </w:tc>
      </w:tr>
      <w:tr w:rsidR="00105568" w:rsidRPr="00E02211" w14:paraId="740657E8" w14:textId="77777777" w:rsidTr="00105568">
        <w:tc>
          <w:tcPr>
            <w:tcW w:w="1025" w:type="dxa"/>
            <w:shd w:val="clear" w:color="auto" w:fill="auto"/>
          </w:tcPr>
          <w:p w14:paraId="21D89E31" w14:textId="6EF216F6" w:rsidR="00E97EDD" w:rsidRPr="00E02211" w:rsidRDefault="002F0078" w:rsidP="00071D1A">
            <w:pPr>
              <w:pStyle w:val="STSubtitle"/>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9.45</w:t>
            </w:r>
          </w:p>
        </w:tc>
        <w:tc>
          <w:tcPr>
            <w:tcW w:w="6901" w:type="dxa"/>
            <w:shd w:val="clear" w:color="auto" w:fill="auto"/>
          </w:tcPr>
          <w:p w14:paraId="0E398A4E" w14:textId="55A17AF4" w:rsidR="00E97EDD" w:rsidRDefault="002F0078" w:rsidP="00071D1A">
            <w:pPr>
              <w:pStyle w:val="STSubtitle"/>
              <w:spacing w:after="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Panel discussion</w:t>
            </w:r>
            <w:r w:rsidR="00E97EDD">
              <w:rPr>
                <w:rFonts w:asciiTheme="minorHAnsi" w:hAnsiTheme="minorHAnsi" w:cstheme="minorHAnsi"/>
                <w:b/>
                <w:color w:val="auto"/>
                <w:sz w:val="22"/>
                <w:szCs w:val="22"/>
              </w:rPr>
              <w:t>:</w:t>
            </w:r>
          </w:p>
          <w:p w14:paraId="3067101A" w14:textId="44EC19C0" w:rsidR="00E97EDD" w:rsidRPr="00105568" w:rsidRDefault="00E97EDD" w:rsidP="00105568">
            <w:pPr>
              <w:spacing w:after="0" w:line="240" w:lineRule="auto"/>
              <w:rPr>
                <w:rFonts w:eastAsia="Times New Roman" w:cs="Times New Roman"/>
                <w:lang w:val="en-US"/>
              </w:rPr>
            </w:pPr>
            <w:r w:rsidRPr="00901D5A">
              <w:rPr>
                <w:rFonts w:eastAsia="Times New Roman" w:cs="Times New Roman"/>
                <w:i/>
                <w:iCs/>
                <w:color w:val="000000"/>
                <w:lang w:val="en-US"/>
              </w:rPr>
              <w:t>How can EU and national policy facilitate the provision of integrated energy renovation and advisory services to consumers? What is the role for EU directives/frameworks vs national and local policy?</w:t>
            </w:r>
          </w:p>
        </w:tc>
        <w:tc>
          <w:tcPr>
            <w:tcW w:w="1134" w:type="dxa"/>
          </w:tcPr>
          <w:p w14:paraId="7CE18DB5" w14:textId="77777777" w:rsidR="00E97EDD" w:rsidRDefault="00E97EDD" w:rsidP="00071D1A">
            <w:pPr>
              <w:pStyle w:val="STSubtitle"/>
              <w:spacing w:after="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30 mins</w:t>
            </w:r>
          </w:p>
        </w:tc>
      </w:tr>
      <w:tr w:rsidR="00105568" w:rsidRPr="002F0078" w14:paraId="0D3474A6" w14:textId="77777777" w:rsidTr="00105568">
        <w:tc>
          <w:tcPr>
            <w:tcW w:w="1025" w:type="dxa"/>
            <w:shd w:val="clear" w:color="auto" w:fill="auto"/>
          </w:tcPr>
          <w:p w14:paraId="32674290" w14:textId="5C229E17" w:rsidR="00E97EDD" w:rsidRPr="002F0078" w:rsidRDefault="002F0078" w:rsidP="00071D1A">
            <w:pPr>
              <w:pStyle w:val="STSubtitle"/>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10.15</w:t>
            </w:r>
          </w:p>
        </w:tc>
        <w:tc>
          <w:tcPr>
            <w:tcW w:w="6901" w:type="dxa"/>
            <w:shd w:val="clear" w:color="auto" w:fill="auto"/>
          </w:tcPr>
          <w:p w14:paraId="3E715BB7" w14:textId="29C43BF5" w:rsidR="00E97EDD" w:rsidRPr="002F0078" w:rsidRDefault="002F0078" w:rsidP="00071D1A">
            <w:pPr>
              <w:pStyle w:val="STSubtitle"/>
              <w:spacing w:after="0" w:line="240" w:lineRule="auto"/>
              <w:rPr>
                <w:rFonts w:asciiTheme="minorHAnsi" w:hAnsiTheme="minorHAnsi" w:cstheme="minorHAnsi"/>
                <w:b/>
                <w:color w:val="auto"/>
                <w:sz w:val="22"/>
                <w:szCs w:val="22"/>
              </w:rPr>
            </w:pPr>
            <w:r w:rsidRPr="002F0078">
              <w:rPr>
                <w:rFonts w:asciiTheme="minorHAnsi" w:hAnsiTheme="minorHAnsi" w:cstheme="minorHAnsi"/>
                <w:b/>
                <w:color w:val="auto"/>
                <w:sz w:val="22"/>
                <w:szCs w:val="22"/>
              </w:rPr>
              <w:t>Plenary discussion</w:t>
            </w:r>
          </w:p>
        </w:tc>
        <w:tc>
          <w:tcPr>
            <w:tcW w:w="1134" w:type="dxa"/>
          </w:tcPr>
          <w:p w14:paraId="1DD8474F" w14:textId="03FC9801" w:rsidR="00E97EDD" w:rsidRPr="002F0078" w:rsidRDefault="002F0078" w:rsidP="00071D1A">
            <w:pPr>
              <w:pStyle w:val="STSubtitle"/>
              <w:spacing w:after="0" w:line="240" w:lineRule="auto"/>
              <w:rPr>
                <w:rFonts w:asciiTheme="minorHAnsi" w:hAnsiTheme="minorHAnsi" w:cstheme="minorHAnsi"/>
                <w:b/>
                <w:color w:val="auto"/>
                <w:sz w:val="22"/>
                <w:szCs w:val="22"/>
              </w:rPr>
            </w:pPr>
            <w:r w:rsidRPr="002F0078">
              <w:rPr>
                <w:rFonts w:asciiTheme="minorHAnsi" w:hAnsiTheme="minorHAnsi" w:cstheme="minorHAnsi"/>
                <w:b/>
                <w:color w:val="auto"/>
                <w:sz w:val="22"/>
                <w:szCs w:val="22"/>
              </w:rPr>
              <w:t>2</w:t>
            </w:r>
            <w:r w:rsidR="00E97EDD" w:rsidRPr="002F0078">
              <w:rPr>
                <w:rFonts w:asciiTheme="minorHAnsi" w:hAnsiTheme="minorHAnsi" w:cstheme="minorHAnsi"/>
                <w:b/>
                <w:color w:val="auto"/>
                <w:sz w:val="22"/>
                <w:szCs w:val="22"/>
              </w:rPr>
              <w:t>5 mins</w:t>
            </w:r>
          </w:p>
        </w:tc>
      </w:tr>
      <w:tr w:rsidR="00105568" w:rsidRPr="002F0078" w14:paraId="4A544A6A" w14:textId="77777777" w:rsidTr="00105568">
        <w:tc>
          <w:tcPr>
            <w:tcW w:w="1025" w:type="dxa"/>
            <w:shd w:val="clear" w:color="auto" w:fill="auto"/>
          </w:tcPr>
          <w:p w14:paraId="306BBAB4" w14:textId="6F10546C" w:rsidR="00E97EDD" w:rsidRPr="002F0078" w:rsidRDefault="00E97EDD" w:rsidP="00071D1A">
            <w:pPr>
              <w:pStyle w:val="STSubtitle"/>
              <w:spacing w:after="0" w:line="240" w:lineRule="auto"/>
              <w:rPr>
                <w:rFonts w:asciiTheme="minorHAnsi" w:hAnsiTheme="minorHAnsi" w:cstheme="minorHAnsi"/>
                <w:color w:val="auto"/>
                <w:sz w:val="22"/>
                <w:szCs w:val="22"/>
              </w:rPr>
            </w:pPr>
            <w:r w:rsidRPr="002F0078">
              <w:rPr>
                <w:rFonts w:asciiTheme="minorHAnsi" w:hAnsiTheme="minorHAnsi" w:cstheme="minorHAnsi"/>
                <w:color w:val="auto"/>
                <w:sz w:val="22"/>
                <w:szCs w:val="22"/>
              </w:rPr>
              <w:t>10.</w:t>
            </w:r>
            <w:r w:rsidR="002F0078">
              <w:rPr>
                <w:rFonts w:asciiTheme="minorHAnsi" w:hAnsiTheme="minorHAnsi" w:cstheme="minorHAnsi"/>
                <w:color w:val="auto"/>
                <w:sz w:val="22"/>
                <w:szCs w:val="22"/>
              </w:rPr>
              <w:t>40</w:t>
            </w:r>
          </w:p>
        </w:tc>
        <w:tc>
          <w:tcPr>
            <w:tcW w:w="6901" w:type="dxa"/>
            <w:shd w:val="clear" w:color="auto" w:fill="auto"/>
          </w:tcPr>
          <w:p w14:paraId="2FE66049" w14:textId="4CAEF3A3" w:rsidR="00E97EDD" w:rsidRPr="002F0078" w:rsidRDefault="002F0078" w:rsidP="00071D1A">
            <w:pPr>
              <w:pStyle w:val="STSubtitle"/>
              <w:spacing w:after="0" w:line="240" w:lineRule="auto"/>
              <w:rPr>
                <w:rFonts w:asciiTheme="minorHAnsi" w:hAnsiTheme="minorHAnsi" w:cstheme="minorHAnsi"/>
                <w:b/>
                <w:color w:val="auto"/>
                <w:sz w:val="22"/>
                <w:szCs w:val="22"/>
              </w:rPr>
            </w:pPr>
            <w:r w:rsidRPr="002F0078">
              <w:rPr>
                <w:rFonts w:asciiTheme="minorHAnsi" w:hAnsiTheme="minorHAnsi" w:cstheme="minorHAnsi"/>
                <w:b/>
                <w:color w:val="auto"/>
                <w:sz w:val="22"/>
                <w:szCs w:val="22"/>
              </w:rPr>
              <w:t>Refreshment break</w:t>
            </w:r>
          </w:p>
        </w:tc>
        <w:tc>
          <w:tcPr>
            <w:tcW w:w="1134" w:type="dxa"/>
          </w:tcPr>
          <w:p w14:paraId="3408A2A4" w14:textId="5A51B107" w:rsidR="00E97EDD" w:rsidRPr="002F0078" w:rsidRDefault="002F0078" w:rsidP="00071D1A">
            <w:pPr>
              <w:pStyle w:val="STSubtitle"/>
              <w:spacing w:after="0" w:line="240" w:lineRule="auto"/>
              <w:rPr>
                <w:rFonts w:asciiTheme="minorHAnsi" w:hAnsiTheme="minorHAnsi" w:cstheme="minorHAnsi"/>
                <w:b/>
                <w:color w:val="auto"/>
                <w:sz w:val="22"/>
                <w:szCs w:val="22"/>
              </w:rPr>
            </w:pPr>
            <w:r w:rsidRPr="002F0078">
              <w:rPr>
                <w:rFonts w:asciiTheme="minorHAnsi" w:hAnsiTheme="minorHAnsi" w:cstheme="minorHAnsi"/>
                <w:b/>
                <w:color w:val="auto"/>
                <w:sz w:val="22"/>
                <w:szCs w:val="22"/>
              </w:rPr>
              <w:t>1</w:t>
            </w:r>
            <w:r w:rsidR="00E97EDD" w:rsidRPr="002F0078">
              <w:rPr>
                <w:rFonts w:asciiTheme="minorHAnsi" w:hAnsiTheme="minorHAnsi" w:cstheme="minorHAnsi"/>
                <w:b/>
                <w:color w:val="auto"/>
                <w:sz w:val="22"/>
                <w:szCs w:val="22"/>
              </w:rPr>
              <w:t>5 mins</w:t>
            </w:r>
          </w:p>
        </w:tc>
      </w:tr>
      <w:tr w:rsidR="00105568" w:rsidRPr="00887AA8" w14:paraId="3FB0C25D" w14:textId="77777777" w:rsidTr="008B676A">
        <w:tc>
          <w:tcPr>
            <w:tcW w:w="9060" w:type="dxa"/>
            <w:gridSpan w:val="3"/>
            <w:shd w:val="clear" w:color="auto" w:fill="auto"/>
          </w:tcPr>
          <w:p w14:paraId="1200B1C6" w14:textId="444C96E5" w:rsidR="00105568" w:rsidRDefault="00105568" w:rsidP="00071D1A">
            <w:pPr>
              <w:pStyle w:val="STSubtitle"/>
              <w:spacing w:after="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Policy Roundtable 2, moderated by Rod Janssen (Energy Advice Exchange)</w:t>
            </w:r>
          </w:p>
        </w:tc>
      </w:tr>
      <w:tr w:rsidR="002F0078" w:rsidRPr="00E02211" w14:paraId="4769FCDB" w14:textId="77777777" w:rsidTr="00105568">
        <w:tc>
          <w:tcPr>
            <w:tcW w:w="1025" w:type="dxa"/>
            <w:shd w:val="clear" w:color="auto" w:fill="auto"/>
          </w:tcPr>
          <w:p w14:paraId="2995BF63" w14:textId="15BD0839" w:rsidR="002F0078" w:rsidRDefault="002F0078" w:rsidP="00071D1A">
            <w:pPr>
              <w:pStyle w:val="STSubtitle"/>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10.55</w:t>
            </w:r>
          </w:p>
        </w:tc>
        <w:tc>
          <w:tcPr>
            <w:tcW w:w="6901" w:type="dxa"/>
            <w:shd w:val="clear" w:color="auto" w:fill="auto"/>
          </w:tcPr>
          <w:p w14:paraId="48162CAF" w14:textId="77777777" w:rsidR="002F0078" w:rsidRPr="00C44F16" w:rsidRDefault="002F0078" w:rsidP="002F0078">
            <w:pPr>
              <w:pStyle w:val="STSubtitle"/>
              <w:spacing w:after="0" w:line="240" w:lineRule="auto"/>
              <w:rPr>
                <w:rFonts w:asciiTheme="minorHAnsi" w:hAnsiTheme="minorHAnsi" w:cstheme="minorHAnsi"/>
                <w:b/>
                <w:color w:val="auto"/>
                <w:sz w:val="22"/>
                <w:szCs w:val="22"/>
              </w:rPr>
            </w:pPr>
            <w:r w:rsidRPr="00C44F16">
              <w:rPr>
                <w:rFonts w:asciiTheme="minorHAnsi" w:hAnsiTheme="minorHAnsi" w:cstheme="minorHAnsi"/>
                <w:b/>
                <w:color w:val="auto"/>
                <w:sz w:val="22"/>
                <w:szCs w:val="22"/>
              </w:rPr>
              <w:t>Introductions to panel members</w:t>
            </w:r>
          </w:p>
          <w:p w14:paraId="7F0C4582" w14:textId="6C73B22C" w:rsidR="002F0078" w:rsidRPr="00C44F16" w:rsidRDefault="00C44F16" w:rsidP="002F0078">
            <w:pPr>
              <w:pStyle w:val="STSubtitle"/>
              <w:numPr>
                <w:ilvl w:val="0"/>
                <w:numId w:val="1"/>
              </w:numPr>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Marco Mordacci</w:t>
            </w:r>
            <w:r w:rsidR="002F0078" w:rsidRPr="00C44F16">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City of </w:t>
            </w:r>
            <w:r w:rsidR="002F0078" w:rsidRPr="00C44F16">
              <w:rPr>
                <w:rFonts w:asciiTheme="minorHAnsi" w:hAnsiTheme="minorHAnsi" w:cstheme="minorHAnsi"/>
                <w:color w:val="auto"/>
                <w:sz w:val="22"/>
                <w:szCs w:val="22"/>
              </w:rPr>
              <w:t>Par</w:t>
            </w:r>
            <w:r>
              <w:rPr>
                <w:rFonts w:asciiTheme="minorHAnsi" w:hAnsiTheme="minorHAnsi" w:cstheme="minorHAnsi"/>
                <w:color w:val="auto"/>
                <w:sz w:val="22"/>
                <w:szCs w:val="22"/>
              </w:rPr>
              <w:t>ma</w:t>
            </w:r>
          </w:p>
          <w:p w14:paraId="14D37D72" w14:textId="7332E1AA" w:rsidR="002F0078" w:rsidRPr="00C44F16" w:rsidRDefault="002F0078" w:rsidP="002F0078">
            <w:pPr>
              <w:pStyle w:val="STSubtitle"/>
              <w:numPr>
                <w:ilvl w:val="0"/>
                <w:numId w:val="1"/>
              </w:numPr>
              <w:spacing w:after="0" w:line="240" w:lineRule="auto"/>
              <w:rPr>
                <w:rFonts w:asciiTheme="minorHAnsi" w:hAnsiTheme="minorHAnsi" w:cstheme="minorHAnsi"/>
                <w:color w:val="auto"/>
                <w:sz w:val="22"/>
                <w:szCs w:val="22"/>
              </w:rPr>
            </w:pPr>
            <w:r w:rsidRPr="00C44F16">
              <w:rPr>
                <w:rFonts w:asciiTheme="minorHAnsi" w:hAnsiTheme="minorHAnsi" w:cstheme="minorHAnsi"/>
                <w:color w:val="auto"/>
                <w:sz w:val="22"/>
                <w:szCs w:val="22"/>
              </w:rPr>
              <w:t xml:space="preserve">Sorcha Edwards, Housing Europe </w:t>
            </w:r>
          </w:p>
          <w:p w14:paraId="127DBB56" w14:textId="77777777" w:rsidR="002F0078" w:rsidRDefault="002F0078" w:rsidP="00071D1A">
            <w:pPr>
              <w:pStyle w:val="STSubtitle"/>
              <w:numPr>
                <w:ilvl w:val="0"/>
                <w:numId w:val="1"/>
              </w:numPr>
              <w:spacing w:after="0" w:line="240" w:lineRule="auto"/>
              <w:rPr>
                <w:rFonts w:asciiTheme="minorHAnsi" w:hAnsiTheme="minorHAnsi" w:cstheme="minorHAnsi"/>
                <w:color w:val="auto"/>
                <w:sz w:val="22"/>
                <w:szCs w:val="22"/>
              </w:rPr>
            </w:pPr>
            <w:r w:rsidRPr="00C44F16">
              <w:rPr>
                <w:rFonts w:asciiTheme="minorHAnsi" w:hAnsiTheme="minorHAnsi" w:cstheme="minorHAnsi"/>
                <w:color w:val="auto"/>
                <w:sz w:val="22"/>
                <w:szCs w:val="22"/>
              </w:rPr>
              <w:t xml:space="preserve">Silvia </w:t>
            </w:r>
            <w:proofErr w:type="spellStart"/>
            <w:r w:rsidRPr="00C44F16">
              <w:rPr>
                <w:rFonts w:asciiTheme="minorHAnsi" w:hAnsiTheme="minorHAnsi" w:cstheme="minorHAnsi"/>
                <w:color w:val="auto"/>
                <w:sz w:val="22"/>
                <w:szCs w:val="22"/>
              </w:rPr>
              <w:t>Zinetti</w:t>
            </w:r>
            <w:proofErr w:type="spellEnd"/>
            <w:r w:rsidRPr="00C44F16">
              <w:rPr>
                <w:rFonts w:asciiTheme="minorHAnsi" w:hAnsiTheme="minorHAnsi" w:cstheme="minorHAnsi"/>
                <w:color w:val="auto"/>
                <w:sz w:val="22"/>
                <w:szCs w:val="22"/>
              </w:rPr>
              <w:t xml:space="preserve">, </w:t>
            </w:r>
            <w:r w:rsidR="00C44F16" w:rsidRPr="00C44F16">
              <w:rPr>
                <w:rFonts w:asciiTheme="minorHAnsi" w:hAnsiTheme="minorHAnsi" w:cstheme="minorHAnsi"/>
                <w:color w:val="auto"/>
                <w:sz w:val="22"/>
                <w:szCs w:val="22"/>
              </w:rPr>
              <w:t>Sustainable energy consultant, Oceanside, California</w:t>
            </w:r>
          </w:p>
          <w:p w14:paraId="70DC023E" w14:textId="7D4F4DF0" w:rsidR="00A0474E" w:rsidRPr="002F0078" w:rsidRDefault="00887AA8" w:rsidP="00071D1A">
            <w:pPr>
              <w:pStyle w:val="STSubtitle"/>
              <w:numPr>
                <w:ilvl w:val="0"/>
                <w:numId w:val="1"/>
              </w:numPr>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Stephen </w:t>
            </w:r>
            <w:proofErr w:type="spellStart"/>
            <w:r>
              <w:rPr>
                <w:rFonts w:asciiTheme="minorHAnsi" w:hAnsiTheme="minorHAnsi" w:cstheme="minorHAnsi"/>
                <w:color w:val="auto"/>
                <w:sz w:val="22"/>
                <w:szCs w:val="22"/>
              </w:rPr>
              <w:t>Hibbert</w:t>
            </w:r>
            <w:proofErr w:type="spellEnd"/>
            <w:r>
              <w:rPr>
                <w:rFonts w:asciiTheme="minorHAnsi" w:hAnsiTheme="minorHAnsi" w:cstheme="minorHAnsi"/>
                <w:color w:val="auto"/>
                <w:sz w:val="22"/>
                <w:szCs w:val="22"/>
              </w:rPr>
              <w:t>, ING (TBC)</w:t>
            </w:r>
          </w:p>
        </w:tc>
        <w:tc>
          <w:tcPr>
            <w:tcW w:w="1134" w:type="dxa"/>
          </w:tcPr>
          <w:p w14:paraId="434EF717" w14:textId="0FF13399" w:rsidR="002F0078" w:rsidRDefault="002F0078" w:rsidP="00071D1A">
            <w:pPr>
              <w:pStyle w:val="STSubtitle"/>
              <w:spacing w:after="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5 mins</w:t>
            </w:r>
          </w:p>
        </w:tc>
      </w:tr>
      <w:tr w:rsidR="00105568" w:rsidRPr="00E02211" w14:paraId="01E9F807" w14:textId="77777777" w:rsidTr="00105568">
        <w:tc>
          <w:tcPr>
            <w:tcW w:w="1025" w:type="dxa"/>
            <w:shd w:val="clear" w:color="auto" w:fill="auto"/>
          </w:tcPr>
          <w:p w14:paraId="1EB7A05F" w14:textId="3A199AC5" w:rsidR="00E97EDD" w:rsidRDefault="002F0078" w:rsidP="00071D1A">
            <w:pPr>
              <w:pStyle w:val="STSubtitle"/>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11.00</w:t>
            </w:r>
          </w:p>
        </w:tc>
        <w:tc>
          <w:tcPr>
            <w:tcW w:w="6901" w:type="dxa"/>
            <w:shd w:val="clear" w:color="auto" w:fill="auto"/>
          </w:tcPr>
          <w:p w14:paraId="05902A84" w14:textId="77777777" w:rsidR="00E97EDD" w:rsidRDefault="00E97EDD" w:rsidP="00071D1A">
            <w:pPr>
              <w:pStyle w:val="STSubtitle"/>
              <w:spacing w:after="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 xml:space="preserve">Panel Discussion 2: </w:t>
            </w:r>
          </w:p>
          <w:p w14:paraId="6BE050D0" w14:textId="30A4BF9B" w:rsidR="00E97EDD" w:rsidRPr="00105568" w:rsidRDefault="00E97EDD" w:rsidP="00105568">
            <w:pPr>
              <w:spacing w:after="0" w:line="240" w:lineRule="auto"/>
              <w:rPr>
                <w:rFonts w:eastAsia="Times New Roman" w:cs="Times New Roman"/>
                <w:i/>
                <w:iCs/>
                <w:color w:val="000000"/>
                <w:lang w:val="en-US"/>
              </w:rPr>
            </w:pPr>
            <w:r w:rsidRPr="00901D5A">
              <w:rPr>
                <w:rFonts w:eastAsia="Times New Roman" w:cs="Times New Roman"/>
                <w:i/>
                <w:iCs/>
                <w:color w:val="000000"/>
                <w:lang w:val="en-US"/>
              </w:rPr>
              <w:t>What is the role and potential of local authorities and local energy advisory services in attracting private sector finance and investment for building renovations? </w:t>
            </w:r>
          </w:p>
        </w:tc>
        <w:tc>
          <w:tcPr>
            <w:tcW w:w="1134" w:type="dxa"/>
          </w:tcPr>
          <w:p w14:paraId="17891B53" w14:textId="77777777" w:rsidR="00E97EDD" w:rsidRDefault="00E97EDD" w:rsidP="00071D1A">
            <w:pPr>
              <w:pStyle w:val="STSubtitle"/>
              <w:spacing w:after="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30 mins</w:t>
            </w:r>
          </w:p>
        </w:tc>
      </w:tr>
      <w:tr w:rsidR="00105568" w:rsidRPr="00E02211" w14:paraId="6E40D9FD" w14:textId="77777777" w:rsidTr="00105568">
        <w:tc>
          <w:tcPr>
            <w:tcW w:w="1025" w:type="dxa"/>
            <w:shd w:val="clear" w:color="auto" w:fill="auto"/>
          </w:tcPr>
          <w:p w14:paraId="07DCD2DA" w14:textId="77777777" w:rsidR="00E97EDD" w:rsidRDefault="00E97EDD" w:rsidP="00071D1A">
            <w:pPr>
              <w:pStyle w:val="STSubtitle"/>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11.30</w:t>
            </w:r>
          </w:p>
        </w:tc>
        <w:tc>
          <w:tcPr>
            <w:tcW w:w="6901" w:type="dxa"/>
            <w:shd w:val="clear" w:color="auto" w:fill="auto"/>
          </w:tcPr>
          <w:p w14:paraId="3D91B26A" w14:textId="77777777" w:rsidR="00E97EDD" w:rsidRPr="00E02211" w:rsidRDefault="00E97EDD" w:rsidP="00071D1A">
            <w:pPr>
              <w:pStyle w:val="STSubtitle"/>
              <w:spacing w:after="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Plenary discussion 2</w:t>
            </w:r>
          </w:p>
        </w:tc>
        <w:tc>
          <w:tcPr>
            <w:tcW w:w="1134" w:type="dxa"/>
          </w:tcPr>
          <w:p w14:paraId="19766657" w14:textId="77777777" w:rsidR="00E97EDD" w:rsidRDefault="00E97EDD" w:rsidP="00071D1A">
            <w:pPr>
              <w:pStyle w:val="STSubtitle"/>
              <w:spacing w:after="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25 mins</w:t>
            </w:r>
          </w:p>
        </w:tc>
      </w:tr>
      <w:tr w:rsidR="00105568" w:rsidRPr="00E02211" w14:paraId="2F5D622A" w14:textId="77777777" w:rsidTr="00105568">
        <w:tc>
          <w:tcPr>
            <w:tcW w:w="1025" w:type="dxa"/>
            <w:shd w:val="clear" w:color="auto" w:fill="auto"/>
          </w:tcPr>
          <w:p w14:paraId="48F7BC91" w14:textId="77777777" w:rsidR="00E97EDD" w:rsidRPr="00E02211" w:rsidRDefault="00E97EDD" w:rsidP="00071D1A">
            <w:pPr>
              <w:pStyle w:val="STSubtitle"/>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11.55</w:t>
            </w:r>
          </w:p>
        </w:tc>
        <w:tc>
          <w:tcPr>
            <w:tcW w:w="6901" w:type="dxa"/>
            <w:shd w:val="clear" w:color="auto" w:fill="auto"/>
          </w:tcPr>
          <w:p w14:paraId="6309D1AD" w14:textId="77777777" w:rsidR="00E97EDD" w:rsidRPr="00E02211" w:rsidRDefault="00E97EDD" w:rsidP="00071D1A">
            <w:pPr>
              <w:pStyle w:val="STSubtitle"/>
              <w:spacing w:after="0" w:line="240" w:lineRule="auto"/>
              <w:rPr>
                <w:rFonts w:asciiTheme="minorHAnsi" w:hAnsiTheme="minorHAnsi" w:cstheme="minorHAnsi"/>
                <w:color w:val="auto"/>
                <w:sz w:val="22"/>
                <w:szCs w:val="22"/>
              </w:rPr>
            </w:pPr>
            <w:r w:rsidRPr="00E02211">
              <w:rPr>
                <w:rFonts w:asciiTheme="minorHAnsi" w:hAnsiTheme="minorHAnsi" w:cstheme="minorHAnsi"/>
                <w:b/>
                <w:color w:val="auto"/>
                <w:sz w:val="22"/>
                <w:szCs w:val="22"/>
              </w:rPr>
              <w:t>Summary and Conclusions</w:t>
            </w:r>
            <w:r w:rsidRPr="00E02211">
              <w:rPr>
                <w:rFonts w:asciiTheme="minorHAnsi" w:hAnsiTheme="minorHAnsi" w:cstheme="minorHAnsi"/>
                <w:color w:val="auto"/>
                <w:sz w:val="22"/>
                <w:szCs w:val="22"/>
              </w:rPr>
              <w:t xml:space="preserve"> </w:t>
            </w:r>
          </w:p>
        </w:tc>
        <w:tc>
          <w:tcPr>
            <w:tcW w:w="1134" w:type="dxa"/>
          </w:tcPr>
          <w:p w14:paraId="0ABDD33C" w14:textId="77777777" w:rsidR="00E97EDD" w:rsidRPr="00E02211" w:rsidRDefault="00E97EDD" w:rsidP="00071D1A">
            <w:pPr>
              <w:pStyle w:val="STSubtitle"/>
              <w:spacing w:after="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10 mins</w:t>
            </w:r>
          </w:p>
        </w:tc>
      </w:tr>
      <w:tr w:rsidR="00105568" w:rsidRPr="00E02211" w14:paraId="00BC968F" w14:textId="77777777" w:rsidTr="00105568">
        <w:trPr>
          <w:trHeight w:val="250"/>
        </w:trPr>
        <w:tc>
          <w:tcPr>
            <w:tcW w:w="1025" w:type="dxa"/>
            <w:shd w:val="clear" w:color="auto" w:fill="auto"/>
          </w:tcPr>
          <w:p w14:paraId="2C8BB608" w14:textId="77777777" w:rsidR="00E97EDD" w:rsidRPr="00E02211" w:rsidRDefault="00E97EDD" w:rsidP="00071D1A">
            <w:pPr>
              <w:pStyle w:val="STSubtitle"/>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12.05</w:t>
            </w:r>
          </w:p>
        </w:tc>
        <w:tc>
          <w:tcPr>
            <w:tcW w:w="6901" w:type="dxa"/>
            <w:shd w:val="clear" w:color="auto" w:fill="auto"/>
          </w:tcPr>
          <w:p w14:paraId="06D32368" w14:textId="77777777" w:rsidR="00E97EDD" w:rsidRPr="00E02211" w:rsidRDefault="00E97EDD" w:rsidP="00071D1A">
            <w:pPr>
              <w:pStyle w:val="STSubtitle"/>
              <w:spacing w:after="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Close and lunch</w:t>
            </w:r>
          </w:p>
        </w:tc>
        <w:tc>
          <w:tcPr>
            <w:tcW w:w="1134" w:type="dxa"/>
          </w:tcPr>
          <w:p w14:paraId="6D01FFBB" w14:textId="77777777" w:rsidR="00E97EDD" w:rsidRPr="00E02211" w:rsidRDefault="00E97EDD" w:rsidP="00071D1A">
            <w:pPr>
              <w:pStyle w:val="STSubtitle"/>
              <w:spacing w:after="0" w:line="240" w:lineRule="auto"/>
              <w:rPr>
                <w:rFonts w:asciiTheme="minorHAnsi" w:hAnsiTheme="minorHAnsi" w:cstheme="minorHAnsi"/>
                <w:b/>
                <w:color w:val="auto"/>
                <w:sz w:val="22"/>
                <w:szCs w:val="22"/>
              </w:rPr>
            </w:pPr>
          </w:p>
        </w:tc>
      </w:tr>
    </w:tbl>
    <w:p w14:paraId="7880B131" w14:textId="77777777" w:rsidR="00E97EDD" w:rsidRDefault="00E97EDD" w:rsidP="00437D2A">
      <w:pPr>
        <w:rPr>
          <w:rFonts w:cstheme="minorHAnsi"/>
          <w:b/>
          <w:lang w:val="en-US"/>
        </w:rPr>
      </w:pPr>
    </w:p>
    <w:p w14:paraId="1A32F831" w14:textId="77777777" w:rsidR="0073715D" w:rsidRDefault="007061E8" w:rsidP="00437D2A">
      <w:pPr>
        <w:rPr>
          <w:rFonts w:cstheme="minorHAnsi"/>
          <w:lang w:val="en-US"/>
        </w:rPr>
      </w:pPr>
      <w:r>
        <w:rPr>
          <w:rFonts w:cstheme="minorHAnsi"/>
          <w:b/>
          <w:lang w:val="en-US"/>
        </w:rPr>
        <w:t>Rationale of event</w:t>
      </w:r>
      <w:r>
        <w:rPr>
          <w:rFonts w:cstheme="minorHAnsi"/>
          <w:lang w:val="en-US"/>
        </w:rPr>
        <w:br/>
      </w:r>
      <w:r w:rsidR="004D6103">
        <w:rPr>
          <w:rFonts w:cstheme="minorHAnsi"/>
          <w:lang w:val="en-US"/>
        </w:rPr>
        <w:t>The Commission’s Clean Energy for all Europeans package has vowed to deliver a fair deal for European consumers, make the EU number one in renewables and put energy efficiency first. The buildings sector will have a crucial role to deliver on these targets. In order to reach the ambitious goal of decarbonizing the building stock by 2050, the way building renovation is undertaken in the EU will have to be transformed</w:t>
      </w:r>
      <w:r w:rsidR="001B0F7C">
        <w:rPr>
          <w:rFonts w:cstheme="minorHAnsi"/>
          <w:lang w:val="en-US"/>
        </w:rPr>
        <w:t xml:space="preserve"> substantially</w:t>
      </w:r>
      <w:r w:rsidR="004D6103">
        <w:rPr>
          <w:rFonts w:cstheme="minorHAnsi"/>
          <w:lang w:val="en-US"/>
        </w:rPr>
        <w:t xml:space="preserve">. </w:t>
      </w:r>
    </w:p>
    <w:p w14:paraId="30683A5B" w14:textId="77777777" w:rsidR="00C71DF7" w:rsidRDefault="0073715D" w:rsidP="00437D2A">
      <w:pPr>
        <w:rPr>
          <w:rFonts w:cstheme="minorHAnsi"/>
          <w:lang w:val="en-US"/>
        </w:rPr>
      </w:pPr>
      <w:r>
        <w:rPr>
          <w:rFonts w:cstheme="minorHAnsi"/>
          <w:lang w:val="en-US"/>
        </w:rPr>
        <w:t xml:space="preserve">Consumers, local authorities and energy advisory services are the </w:t>
      </w:r>
      <w:r w:rsidR="001B0F7C">
        <w:rPr>
          <w:rFonts w:cstheme="minorHAnsi"/>
          <w:lang w:val="en-US"/>
        </w:rPr>
        <w:t>three leading forces,</w:t>
      </w:r>
      <w:r>
        <w:rPr>
          <w:rFonts w:cstheme="minorHAnsi"/>
          <w:lang w:val="en-US"/>
        </w:rPr>
        <w:t xml:space="preserve"> whose combined actions will enable Europe to deliver on its 2050 renovation challenge. </w:t>
      </w:r>
      <w:r w:rsidR="001B0F7C">
        <w:rPr>
          <w:rFonts w:cstheme="minorHAnsi"/>
          <w:lang w:val="en-US"/>
        </w:rPr>
        <w:t>Their manifold collaboration on the ground, in cooperation with other private and public stakehol</w:t>
      </w:r>
      <w:r w:rsidR="00D51755">
        <w:rPr>
          <w:rFonts w:cstheme="minorHAnsi"/>
          <w:lang w:val="en-US"/>
        </w:rPr>
        <w:t xml:space="preserve">ders, </w:t>
      </w:r>
      <w:r w:rsidR="00FE6F21">
        <w:rPr>
          <w:rFonts w:cstheme="minorHAnsi"/>
          <w:lang w:val="en-US"/>
        </w:rPr>
        <w:t xml:space="preserve">is key to </w:t>
      </w:r>
      <w:r w:rsidR="00D51755">
        <w:rPr>
          <w:rFonts w:cstheme="minorHAnsi"/>
          <w:lang w:val="en-US"/>
        </w:rPr>
        <w:lastRenderedPageBreak/>
        <w:t>unlock widespread demand for renovation, ensure a just transition through affordable renovation sch</w:t>
      </w:r>
      <w:r w:rsidR="00C71DF7">
        <w:rPr>
          <w:rFonts w:cstheme="minorHAnsi"/>
          <w:lang w:val="en-US"/>
        </w:rPr>
        <w:t xml:space="preserve">emes and increase the quality of life of European citizens. </w:t>
      </w:r>
    </w:p>
    <w:p w14:paraId="2A5DF3AE" w14:textId="2AC57CD4" w:rsidR="00105568" w:rsidRDefault="00105568" w:rsidP="00437D2A">
      <w:pPr>
        <w:rPr>
          <w:rFonts w:cstheme="minorHAnsi"/>
          <w:lang w:val="en-US"/>
        </w:rPr>
      </w:pPr>
      <w:r>
        <w:rPr>
          <w:rFonts w:cstheme="minorHAnsi"/>
          <w:lang w:val="en-US"/>
        </w:rPr>
        <w:t xml:space="preserve">The revision of the EU building policy framework in the context of the Clean Energy for all Europeans package provides an essential opportunity to empower consumers, local authorities and energy advisory services in putting Europe on track of its long-term renovation goal. </w:t>
      </w:r>
    </w:p>
    <w:p w14:paraId="4D3C7850" w14:textId="7F37E7D0" w:rsidR="00E97EDD" w:rsidRPr="00105568" w:rsidRDefault="00105568" w:rsidP="00105568">
      <w:pPr>
        <w:rPr>
          <w:rFonts w:cstheme="minorHAnsi"/>
          <w:lang w:val="en-US"/>
        </w:rPr>
      </w:pPr>
      <w:r>
        <w:rPr>
          <w:rFonts w:cstheme="minorHAnsi"/>
          <w:lang w:val="en-US"/>
        </w:rPr>
        <w:t xml:space="preserve">This Policy Roundtable, organized by the PUBLENEF project and the Energy Advice Exchange, will address the questions of 1) how EU and national policy can support the provision of integrated energy renovation and advisory services to consumers and 2) what is the role of </w:t>
      </w:r>
      <w:r w:rsidRPr="00105568">
        <w:rPr>
          <w:rFonts w:eastAsia="Times New Roman" w:cs="Times New Roman"/>
          <w:iCs/>
          <w:color w:val="000000"/>
          <w:lang w:val="en-US"/>
        </w:rPr>
        <w:t>local authorities and local energy advisory services in attracting private sector finance and investment for building renovations?</w:t>
      </w:r>
      <w:r w:rsidRPr="00901D5A">
        <w:rPr>
          <w:rFonts w:eastAsia="Times New Roman" w:cs="Times New Roman"/>
          <w:i/>
          <w:iCs/>
          <w:color w:val="000000"/>
          <w:lang w:val="en-US"/>
        </w:rPr>
        <w:t> </w:t>
      </w:r>
      <w:r>
        <w:rPr>
          <w:rFonts w:eastAsia="Times New Roman" w:cs="Times New Roman"/>
          <w:iCs/>
          <w:color w:val="000000"/>
          <w:lang w:val="en-US"/>
        </w:rPr>
        <w:t xml:space="preserve">The roundtable will </w:t>
      </w:r>
      <w:r>
        <w:rPr>
          <w:rFonts w:cstheme="minorHAnsi"/>
          <w:lang w:val="en-US"/>
        </w:rPr>
        <w:t xml:space="preserve">bring together consumer </w:t>
      </w:r>
      <w:proofErr w:type="spellStart"/>
      <w:r>
        <w:rPr>
          <w:rFonts w:cstheme="minorHAnsi"/>
          <w:lang w:val="en-US"/>
        </w:rPr>
        <w:t>organisations</w:t>
      </w:r>
      <w:proofErr w:type="spellEnd"/>
      <w:r>
        <w:rPr>
          <w:rFonts w:cstheme="minorHAnsi"/>
          <w:lang w:val="en-US"/>
        </w:rPr>
        <w:t>, local authorities and building policy experts to discuss these questions and the audience will be encouraged to join the debate.</w:t>
      </w:r>
    </w:p>
    <w:p w14:paraId="4EEDEE05" w14:textId="23E07D84" w:rsidR="00437D2A" w:rsidRPr="00E97EDD" w:rsidRDefault="00E02211" w:rsidP="00E97EDD">
      <w:pPr>
        <w:pStyle w:val="Default"/>
        <w:rPr>
          <w:rFonts w:asciiTheme="minorHAnsi" w:hAnsiTheme="minorHAnsi" w:cstheme="minorHAnsi"/>
          <w:b/>
          <w:bCs/>
          <w:i/>
          <w:iCs/>
          <w:sz w:val="22"/>
          <w:szCs w:val="22"/>
          <w:lang w:val="en-US"/>
        </w:rPr>
      </w:pPr>
      <w:r w:rsidRPr="00E02211">
        <w:rPr>
          <w:rFonts w:asciiTheme="minorHAnsi" w:hAnsiTheme="minorHAnsi" w:cstheme="minorHAnsi"/>
          <w:b/>
          <w:sz w:val="22"/>
          <w:szCs w:val="22"/>
          <w:lang w:val="en-US"/>
        </w:rPr>
        <w:t xml:space="preserve">About the </w:t>
      </w:r>
      <w:r w:rsidR="00BE53E2" w:rsidRPr="00E02211">
        <w:rPr>
          <w:rFonts w:asciiTheme="minorHAnsi" w:hAnsiTheme="minorHAnsi" w:cstheme="minorHAnsi"/>
          <w:b/>
          <w:sz w:val="22"/>
          <w:szCs w:val="22"/>
          <w:lang w:val="en-US"/>
        </w:rPr>
        <w:t>organizers</w:t>
      </w:r>
      <w:r w:rsidRPr="00E02211">
        <w:rPr>
          <w:rFonts w:asciiTheme="minorHAnsi" w:hAnsiTheme="minorHAnsi" w:cstheme="minorHAnsi"/>
          <w:sz w:val="22"/>
          <w:szCs w:val="22"/>
          <w:lang w:val="en-US"/>
        </w:rPr>
        <w:br/>
      </w:r>
      <w:r w:rsidR="00437D2A" w:rsidRPr="00E02211">
        <w:rPr>
          <w:rFonts w:asciiTheme="minorHAnsi" w:hAnsiTheme="minorHAnsi" w:cstheme="minorHAnsi"/>
          <w:b/>
          <w:bCs/>
          <w:i/>
          <w:iCs/>
          <w:sz w:val="22"/>
          <w:szCs w:val="22"/>
          <w:lang w:val="en-US"/>
        </w:rPr>
        <w:t xml:space="preserve">PUBLENEF’s overarching goal is to assist Member States in implementing effective and efficient sustainable energy policies </w:t>
      </w:r>
      <w:r w:rsidR="00437D2A" w:rsidRPr="00E02211">
        <w:rPr>
          <w:rFonts w:asciiTheme="minorHAnsi" w:hAnsiTheme="minorHAnsi" w:cstheme="minorHAnsi"/>
          <w:i/>
          <w:iCs/>
          <w:sz w:val="22"/>
          <w:szCs w:val="22"/>
          <w:lang w:val="en-US"/>
        </w:rPr>
        <w:t xml:space="preserve">(with the focus on energy efficiency) and empower them to make use of the best practices and policy processes implemented in other Member States at the national, regional and/or local level. </w:t>
      </w:r>
    </w:p>
    <w:p w14:paraId="18D123D0" w14:textId="3C11D751" w:rsidR="00E02211" w:rsidRDefault="00E02211" w:rsidP="00E02211">
      <w:pPr>
        <w:pStyle w:val="Default"/>
        <w:rPr>
          <w:rFonts w:asciiTheme="minorHAnsi" w:hAnsiTheme="minorHAnsi" w:cstheme="minorHAnsi"/>
          <w:sz w:val="22"/>
          <w:szCs w:val="22"/>
          <w:lang w:val="en-US"/>
        </w:rPr>
      </w:pPr>
      <w:r w:rsidRPr="00E97EDD">
        <w:rPr>
          <w:rStyle w:val="Accentuation"/>
          <w:rFonts w:asciiTheme="minorHAnsi" w:hAnsiTheme="minorHAnsi" w:cstheme="minorHAnsi"/>
          <w:b/>
          <w:sz w:val="22"/>
          <w:szCs w:val="22"/>
          <w:lang w:val="en-US"/>
        </w:rPr>
        <w:t>Energy Advice Exchange</w:t>
      </w:r>
      <w:r w:rsidRPr="00E02211">
        <w:rPr>
          <w:rFonts w:asciiTheme="minorHAnsi" w:hAnsiTheme="minorHAnsi" w:cstheme="minorHAnsi"/>
          <w:sz w:val="22"/>
          <w:szCs w:val="22"/>
          <w:lang w:val="en-US"/>
        </w:rPr>
        <w:t xml:space="preserve"> is an informal discussion group bringing together a wide range of actors, who are arguing for a higher priority for the provision of energy advice. It aims to support all stakeholders in the legislative process of the European Commission’s Clean Energy for All Europeans package. </w:t>
      </w:r>
    </w:p>
    <w:p w14:paraId="51575784" w14:textId="304F9790" w:rsidR="001D6067" w:rsidRPr="00E02211" w:rsidRDefault="00E02211" w:rsidP="00E97EDD">
      <w:pPr>
        <w:pStyle w:val="Default"/>
        <w:rPr>
          <w:rFonts w:cstheme="minorHAnsi"/>
          <w:b/>
          <w:lang w:val="en-US"/>
        </w:rPr>
      </w:pPr>
      <w:r>
        <w:rPr>
          <w:rFonts w:asciiTheme="minorHAnsi" w:hAnsiTheme="minorHAnsi" w:cstheme="minorHAnsi"/>
          <w:b/>
          <w:bCs/>
          <w:i/>
          <w:iCs/>
          <w:sz w:val="22"/>
          <w:szCs w:val="22"/>
          <w:lang w:val="en-US"/>
        </w:rPr>
        <w:br/>
      </w:r>
    </w:p>
    <w:p w14:paraId="10156362" w14:textId="77777777" w:rsidR="00437D2A" w:rsidRPr="00E02211" w:rsidRDefault="00437D2A" w:rsidP="00437D2A">
      <w:pPr>
        <w:rPr>
          <w:rFonts w:cstheme="minorHAnsi"/>
          <w:lang w:val="en-US"/>
        </w:rPr>
      </w:pPr>
      <w:r w:rsidRPr="00E02211">
        <w:rPr>
          <w:rFonts w:cstheme="minorHAnsi"/>
          <w:b/>
          <w:lang w:val="en-US"/>
        </w:rPr>
        <w:t>Contact at Energy Cities</w:t>
      </w:r>
      <w:r w:rsidR="00EA1922" w:rsidRPr="00E02211">
        <w:rPr>
          <w:rFonts w:cstheme="minorHAnsi"/>
          <w:b/>
          <w:lang w:val="en-US"/>
        </w:rPr>
        <w:t xml:space="preserve"> / PUBLENEF</w:t>
      </w:r>
      <w:r w:rsidRPr="00E02211">
        <w:rPr>
          <w:rFonts w:cstheme="minorHAnsi"/>
          <w:b/>
          <w:lang w:val="en-US"/>
        </w:rPr>
        <w:t xml:space="preserve">: </w:t>
      </w:r>
      <w:r w:rsidRPr="00E02211">
        <w:rPr>
          <w:rFonts w:cstheme="minorHAnsi"/>
          <w:lang w:val="en-US"/>
        </w:rPr>
        <w:br/>
        <w:t xml:space="preserve">David Donnerer, </w:t>
      </w:r>
      <w:hyperlink r:id="rId7" w:history="1">
        <w:r w:rsidRPr="00E02211">
          <w:rPr>
            <w:rStyle w:val="Lienhypertexte"/>
            <w:rFonts w:cstheme="minorHAnsi"/>
            <w:lang w:val="en-US"/>
          </w:rPr>
          <w:t>david.donnerer@energy-cities.eu</w:t>
        </w:r>
      </w:hyperlink>
      <w:r w:rsidRPr="00E02211">
        <w:rPr>
          <w:rFonts w:cstheme="minorHAnsi"/>
          <w:lang w:val="en-US"/>
        </w:rPr>
        <w:t xml:space="preserve"> </w:t>
      </w:r>
    </w:p>
    <w:p w14:paraId="1F926385" w14:textId="77777777" w:rsidR="00EA1922" w:rsidRPr="00E02211" w:rsidRDefault="00EA1922" w:rsidP="00437D2A">
      <w:pPr>
        <w:rPr>
          <w:rFonts w:cstheme="minorHAnsi"/>
          <w:lang w:val="en-US"/>
        </w:rPr>
      </w:pPr>
      <w:r w:rsidRPr="00E02211">
        <w:rPr>
          <w:rFonts w:cstheme="minorHAnsi"/>
          <w:b/>
          <w:lang w:val="en-US"/>
        </w:rPr>
        <w:t>Contact at Energy Advice Exchange</w:t>
      </w:r>
      <w:proofErr w:type="gramStart"/>
      <w:r w:rsidRPr="00E02211">
        <w:rPr>
          <w:rFonts w:cstheme="minorHAnsi"/>
          <w:b/>
          <w:lang w:val="en-US"/>
        </w:rPr>
        <w:t>:</w:t>
      </w:r>
      <w:proofErr w:type="gramEnd"/>
      <w:r w:rsidRPr="00E02211">
        <w:rPr>
          <w:rFonts w:cstheme="minorHAnsi"/>
          <w:lang w:val="en-US"/>
        </w:rPr>
        <w:br/>
        <w:t xml:space="preserve">Rod Janssen, </w:t>
      </w:r>
      <w:hyperlink r:id="rId8" w:history="1">
        <w:r w:rsidRPr="00E02211">
          <w:rPr>
            <w:rStyle w:val="Lienhypertexte"/>
            <w:rFonts w:cstheme="minorHAnsi"/>
            <w:lang w:val="en-US"/>
          </w:rPr>
          <w:t>energyindemand@gmail.com</w:t>
        </w:r>
      </w:hyperlink>
      <w:r w:rsidRPr="00E02211">
        <w:rPr>
          <w:rFonts w:cstheme="minorHAnsi"/>
          <w:lang w:val="en-US"/>
        </w:rPr>
        <w:t xml:space="preserve"> </w:t>
      </w:r>
    </w:p>
    <w:p w14:paraId="4E00B2A4" w14:textId="77777777" w:rsidR="00801A4F" w:rsidRPr="00E02211" w:rsidRDefault="00437D2A">
      <w:pPr>
        <w:rPr>
          <w:rFonts w:cstheme="minorHAnsi"/>
          <w:lang w:val="en-US"/>
        </w:rPr>
      </w:pPr>
      <w:r w:rsidRPr="00E02211">
        <w:rPr>
          <w:rFonts w:cstheme="minorHAnsi"/>
          <w:b/>
          <w:lang w:val="en-US"/>
        </w:rPr>
        <w:t>More information</w:t>
      </w:r>
      <w:proofErr w:type="gramStart"/>
      <w:r w:rsidRPr="00E02211">
        <w:rPr>
          <w:rFonts w:cstheme="minorHAnsi"/>
          <w:b/>
          <w:lang w:val="en-US"/>
        </w:rPr>
        <w:t>:</w:t>
      </w:r>
      <w:proofErr w:type="gramEnd"/>
      <w:r w:rsidRPr="00E02211">
        <w:rPr>
          <w:rFonts w:cstheme="minorHAnsi"/>
          <w:lang w:val="en-US"/>
        </w:rPr>
        <w:br/>
        <w:t xml:space="preserve">PUBLENEF project, </w:t>
      </w:r>
      <w:hyperlink r:id="rId9" w:history="1">
        <w:r w:rsidRPr="00E02211">
          <w:rPr>
            <w:rStyle w:val="Lienhypertexte"/>
            <w:rFonts w:cstheme="minorHAnsi"/>
            <w:lang w:val="en-US"/>
          </w:rPr>
          <w:t>http://publenef-project.eu/</w:t>
        </w:r>
      </w:hyperlink>
      <w:r w:rsidRPr="00E02211">
        <w:rPr>
          <w:rFonts w:cstheme="minorHAnsi"/>
          <w:lang w:val="en-US"/>
        </w:rPr>
        <w:t xml:space="preserve"> </w:t>
      </w:r>
      <w:r w:rsidRPr="00E02211">
        <w:rPr>
          <w:rFonts w:cstheme="minorHAnsi"/>
          <w:lang w:val="en-US"/>
        </w:rPr>
        <w:br/>
      </w:r>
      <w:r w:rsidR="00EA1922" w:rsidRPr="00E02211">
        <w:rPr>
          <w:rFonts w:cstheme="minorHAnsi"/>
          <w:lang w:val="en-US"/>
        </w:rPr>
        <w:t xml:space="preserve">Energy Advice Exchange: </w:t>
      </w:r>
      <w:hyperlink r:id="rId10" w:history="1">
        <w:r w:rsidR="00EA1922" w:rsidRPr="00E02211">
          <w:rPr>
            <w:rStyle w:val="Lienhypertexte"/>
            <w:rFonts w:cstheme="minorHAnsi"/>
            <w:lang w:val="en-US"/>
          </w:rPr>
          <w:t>https://energyindemand.com/</w:t>
        </w:r>
      </w:hyperlink>
      <w:r w:rsidR="00EA1922" w:rsidRPr="00E02211">
        <w:rPr>
          <w:rFonts w:cstheme="minorHAnsi"/>
          <w:lang w:val="en-US"/>
        </w:rPr>
        <w:t xml:space="preserve"> </w:t>
      </w:r>
      <w:r w:rsidRPr="00E02211">
        <w:rPr>
          <w:rFonts w:cstheme="minorHAnsi"/>
          <w:lang w:val="en-US"/>
        </w:rPr>
        <w:t xml:space="preserve"> </w:t>
      </w:r>
    </w:p>
    <w:sectPr w:rsidR="00801A4F" w:rsidRPr="00E02211" w:rsidSect="002F0078">
      <w:pgSz w:w="11906" w:h="16838"/>
      <w:pgMar w:top="102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F4EB0"/>
    <w:multiLevelType w:val="hybridMultilevel"/>
    <w:tmpl w:val="786C3BB8"/>
    <w:lvl w:ilvl="0" w:tplc="BFDE5BB4">
      <w:numFmt w:val="bullet"/>
      <w:lvlText w:val="-"/>
      <w:lvlJc w:val="left"/>
      <w:pPr>
        <w:ind w:left="720" w:hanging="360"/>
      </w:pPr>
      <w:rPr>
        <w:rFonts w:ascii="Century Gothic" w:eastAsia="MS Mincho"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2A"/>
    <w:rsid w:val="00081F89"/>
    <w:rsid w:val="000F7B16"/>
    <w:rsid w:val="00105568"/>
    <w:rsid w:val="00113680"/>
    <w:rsid w:val="001B0F7C"/>
    <w:rsid w:val="001D6067"/>
    <w:rsid w:val="001F7C7E"/>
    <w:rsid w:val="002A794F"/>
    <w:rsid w:val="002F0078"/>
    <w:rsid w:val="004165E5"/>
    <w:rsid w:val="00434F5B"/>
    <w:rsid w:val="00437D2A"/>
    <w:rsid w:val="004560F1"/>
    <w:rsid w:val="00460F3C"/>
    <w:rsid w:val="004668F3"/>
    <w:rsid w:val="004C01DC"/>
    <w:rsid w:val="004D6103"/>
    <w:rsid w:val="00552C54"/>
    <w:rsid w:val="005811D6"/>
    <w:rsid w:val="00593F3A"/>
    <w:rsid w:val="005F603B"/>
    <w:rsid w:val="0060005C"/>
    <w:rsid w:val="006E3918"/>
    <w:rsid w:val="006E7952"/>
    <w:rsid w:val="0070373D"/>
    <w:rsid w:val="007061E8"/>
    <w:rsid w:val="0073715D"/>
    <w:rsid w:val="00742ED6"/>
    <w:rsid w:val="00795AC1"/>
    <w:rsid w:val="00801A4F"/>
    <w:rsid w:val="00820D44"/>
    <w:rsid w:val="00887AA8"/>
    <w:rsid w:val="008D5331"/>
    <w:rsid w:val="008E553C"/>
    <w:rsid w:val="008F002D"/>
    <w:rsid w:val="00901D5A"/>
    <w:rsid w:val="00936C5B"/>
    <w:rsid w:val="00984CAC"/>
    <w:rsid w:val="009A2DAC"/>
    <w:rsid w:val="00A0474E"/>
    <w:rsid w:val="00A36141"/>
    <w:rsid w:val="00A96BB4"/>
    <w:rsid w:val="00BE53E2"/>
    <w:rsid w:val="00C44F16"/>
    <w:rsid w:val="00C71DF7"/>
    <w:rsid w:val="00C83EC0"/>
    <w:rsid w:val="00CA3236"/>
    <w:rsid w:val="00CA6FE1"/>
    <w:rsid w:val="00D51755"/>
    <w:rsid w:val="00E02211"/>
    <w:rsid w:val="00E64531"/>
    <w:rsid w:val="00E96636"/>
    <w:rsid w:val="00E97EDD"/>
    <w:rsid w:val="00EA1922"/>
    <w:rsid w:val="00F868F8"/>
    <w:rsid w:val="00FD3A52"/>
    <w:rsid w:val="00FE6F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85DA"/>
  <w15:chartTrackingRefBased/>
  <w15:docId w15:val="{2AA26F06-F7EA-435F-8B59-590C9BB5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D2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Subtitle">
    <w:name w:val="ST Subtitle"/>
    <w:basedOn w:val="Normal"/>
    <w:link w:val="STSubtitleChar"/>
    <w:qFormat/>
    <w:rsid w:val="00437D2A"/>
    <w:pPr>
      <w:spacing w:after="200" w:line="276" w:lineRule="auto"/>
    </w:pPr>
    <w:rPr>
      <w:rFonts w:ascii="Century Gothic" w:eastAsia="MS Mincho" w:hAnsi="Century Gothic" w:cs="Times New Roman"/>
      <w:color w:val="808080"/>
      <w:sz w:val="32"/>
      <w:szCs w:val="32"/>
      <w:lang w:val="en-US" w:eastAsia="fr-FR"/>
    </w:rPr>
  </w:style>
  <w:style w:type="character" w:customStyle="1" w:styleId="STSubtitleChar">
    <w:name w:val="ST Subtitle Char"/>
    <w:link w:val="STSubtitle"/>
    <w:rsid w:val="00437D2A"/>
    <w:rPr>
      <w:rFonts w:ascii="Century Gothic" w:eastAsia="MS Mincho" w:hAnsi="Century Gothic" w:cs="Times New Roman"/>
      <w:color w:val="808080"/>
      <w:sz w:val="32"/>
      <w:szCs w:val="32"/>
      <w:lang w:val="en-US" w:eastAsia="fr-FR"/>
    </w:rPr>
  </w:style>
  <w:style w:type="paragraph" w:customStyle="1" w:styleId="Default">
    <w:name w:val="Default"/>
    <w:rsid w:val="00437D2A"/>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437D2A"/>
    <w:rPr>
      <w:color w:val="0563C1" w:themeColor="hyperlink"/>
      <w:u w:val="single"/>
    </w:rPr>
  </w:style>
  <w:style w:type="character" w:styleId="Accentuation">
    <w:name w:val="Emphasis"/>
    <w:basedOn w:val="Policepardfaut"/>
    <w:uiPriority w:val="20"/>
    <w:qFormat/>
    <w:rsid w:val="00EA1922"/>
    <w:rPr>
      <w:i/>
      <w:iCs/>
    </w:rPr>
  </w:style>
  <w:style w:type="character" w:styleId="Lienhypertextesuivivisit">
    <w:name w:val="FollowedHyperlink"/>
    <w:basedOn w:val="Policepardfaut"/>
    <w:uiPriority w:val="99"/>
    <w:semiHidden/>
    <w:unhideWhenUsed/>
    <w:rsid w:val="00E966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13637">
      <w:bodyDiv w:val="1"/>
      <w:marLeft w:val="0"/>
      <w:marRight w:val="0"/>
      <w:marTop w:val="0"/>
      <w:marBottom w:val="0"/>
      <w:divBdr>
        <w:top w:val="none" w:sz="0" w:space="0" w:color="auto"/>
        <w:left w:val="none" w:sz="0" w:space="0" w:color="auto"/>
        <w:bottom w:val="none" w:sz="0" w:space="0" w:color="auto"/>
        <w:right w:val="none" w:sz="0" w:space="0" w:color="auto"/>
      </w:divBdr>
    </w:div>
    <w:div w:id="176168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yindemand@gmail.com" TargetMode="External"/><Relationship Id="rId3" Type="http://schemas.openxmlformats.org/officeDocument/2006/relationships/settings" Target="settings.xml"/><Relationship Id="rId7" Type="http://schemas.openxmlformats.org/officeDocument/2006/relationships/hyperlink" Target="mailto:david.donnerer@energy-cities.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energyindemand.com/" TargetMode="External"/><Relationship Id="rId4" Type="http://schemas.openxmlformats.org/officeDocument/2006/relationships/webSettings" Target="webSettings.xml"/><Relationship Id="rId9" Type="http://schemas.openxmlformats.org/officeDocument/2006/relationships/hyperlink" Target="http://publenef-project.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715</Words>
  <Characters>3938</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7</cp:revision>
  <dcterms:created xsi:type="dcterms:W3CDTF">2017-05-11T09:29:00Z</dcterms:created>
  <dcterms:modified xsi:type="dcterms:W3CDTF">2017-05-29T12:15:00Z</dcterms:modified>
</cp:coreProperties>
</file>